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E" w:rsidRDefault="008E2EB3" w:rsidP="008E2EB3">
      <w:pPr>
        <w:tabs>
          <w:tab w:val="left" w:pos="9135"/>
        </w:tabs>
        <w:rPr>
          <w:rFonts w:ascii="Ravie" w:hAnsi="Ravie"/>
          <w:sz w:val="36"/>
          <w:szCs w:val="36"/>
        </w:rPr>
      </w:pPr>
      <w:r>
        <w:rPr>
          <w:rFonts w:ascii="Ravie" w:hAnsi="Ravie"/>
          <w:sz w:val="36"/>
          <w:szCs w:val="36"/>
        </w:rPr>
        <w:tab/>
      </w:r>
    </w:p>
    <w:p w:rsidR="00D66022" w:rsidRPr="004F4643" w:rsidRDefault="00A46B61" w:rsidP="004F4643">
      <w:pPr>
        <w:pStyle w:val="NoSpacing"/>
        <w:rPr>
          <w:rFonts w:ascii="Ravie" w:hAnsi="Ravie"/>
          <w:sz w:val="40"/>
          <w:szCs w:val="40"/>
        </w:rPr>
      </w:pPr>
      <w:r w:rsidRPr="004F4643">
        <w:rPr>
          <w:rFonts w:ascii="Ravie" w:hAnsi="Ravie"/>
          <w:sz w:val="40"/>
          <w:szCs w:val="40"/>
        </w:rPr>
        <w:t>Checklist &amp; Instructions</w:t>
      </w:r>
    </w:p>
    <w:p w:rsidR="004F4643" w:rsidRDefault="004F4643" w:rsidP="004F4643">
      <w:pPr>
        <w:pStyle w:val="NoSpacing"/>
        <w:rPr>
          <w:rFonts w:ascii="Ravie" w:hAnsi="Ravie"/>
        </w:rPr>
      </w:pPr>
    </w:p>
    <w:p w:rsidR="004F4643" w:rsidRPr="004F4643" w:rsidRDefault="004F4643" w:rsidP="004F4643">
      <w:pPr>
        <w:pStyle w:val="NoSpacing"/>
        <w:rPr>
          <w:rFonts w:ascii="Ravie" w:hAnsi="Ravie"/>
        </w:rPr>
      </w:pPr>
    </w:p>
    <w:p w:rsidR="00A46B61" w:rsidRDefault="00A46B61" w:rsidP="00A46B61">
      <w:pPr>
        <w:pStyle w:val="NoSpacing"/>
      </w:pPr>
      <w:r>
        <w:t>This box contains:</w:t>
      </w:r>
    </w:p>
    <w:tbl>
      <w:tblPr>
        <w:tblStyle w:val="TableGrid"/>
        <w:tblW w:w="10740" w:type="dxa"/>
        <w:tblLayout w:type="fixed"/>
        <w:tblLook w:val="04A0"/>
      </w:tblPr>
      <w:tblGrid>
        <w:gridCol w:w="4219"/>
        <w:gridCol w:w="1134"/>
        <w:gridCol w:w="1418"/>
        <w:gridCol w:w="1417"/>
        <w:gridCol w:w="2552"/>
      </w:tblGrid>
      <w:tr w:rsidR="00A87767" w:rsidTr="00F42180">
        <w:trPr>
          <w:trHeight w:val="430"/>
        </w:trPr>
        <w:tc>
          <w:tcPr>
            <w:tcW w:w="4219" w:type="dxa"/>
          </w:tcPr>
          <w:p w:rsidR="00A87767" w:rsidRPr="000C0524" w:rsidRDefault="00A87767" w:rsidP="00A46B61">
            <w:pPr>
              <w:pStyle w:val="NoSpacing"/>
              <w:rPr>
                <w:b/>
              </w:rPr>
            </w:pPr>
            <w:r w:rsidRPr="000C0524">
              <w:rPr>
                <w:b/>
              </w:rPr>
              <w:t>Item</w:t>
            </w:r>
          </w:p>
        </w:tc>
        <w:tc>
          <w:tcPr>
            <w:tcW w:w="1134" w:type="dxa"/>
          </w:tcPr>
          <w:p w:rsidR="00A87767" w:rsidRPr="000C0524" w:rsidRDefault="00A87767" w:rsidP="001D0FCE">
            <w:pPr>
              <w:pStyle w:val="NoSpacing"/>
              <w:jc w:val="center"/>
              <w:rPr>
                <w:b/>
              </w:rPr>
            </w:pPr>
            <w:r w:rsidRPr="000C0524">
              <w:rPr>
                <w:b/>
              </w:rPr>
              <w:t>Quantity</w:t>
            </w:r>
          </w:p>
        </w:tc>
        <w:tc>
          <w:tcPr>
            <w:tcW w:w="1418" w:type="dxa"/>
          </w:tcPr>
          <w:p w:rsidR="00A87767" w:rsidRPr="000C0524" w:rsidRDefault="00A87767" w:rsidP="001D0FCE">
            <w:pPr>
              <w:pStyle w:val="NoSpacing"/>
              <w:jc w:val="center"/>
              <w:rPr>
                <w:b/>
              </w:rPr>
            </w:pPr>
            <w:r w:rsidRPr="000C0524">
              <w:rPr>
                <w:b/>
              </w:rPr>
              <w:t>Checked Out</w:t>
            </w:r>
          </w:p>
        </w:tc>
        <w:tc>
          <w:tcPr>
            <w:tcW w:w="1417" w:type="dxa"/>
          </w:tcPr>
          <w:p w:rsidR="00A87767" w:rsidRPr="000C0524" w:rsidRDefault="00A87767" w:rsidP="001D0FCE">
            <w:pPr>
              <w:pStyle w:val="NoSpacing"/>
              <w:jc w:val="center"/>
              <w:rPr>
                <w:b/>
              </w:rPr>
            </w:pPr>
            <w:r w:rsidRPr="000C0524">
              <w:rPr>
                <w:b/>
              </w:rPr>
              <w:t>Checked In</w:t>
            </w:r>
          </w:p>
        </w:tc>
        <w:tc>
          <w:tcPr>
            <w:tcW w:w="2552" w:type="dxa"/>
          </w:tcPr>
          <w:p w:rsidR="00A87767" w:rsidRPr="000C0524" w:rsidRDefault="00A87767" w:rsidP="001D0F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 / Faults / Damage</w:t>
            </w:r>
          </w:p>
        </w:tc>
      </w:tr>
      <w:tr w:rsidR="00A87767" w:rsidTr="00F42180">
        <w:trPr>
          <w:trHeight w:val="687"/>
        </w:trPr>
        <w:tc>
          <w:tcPr>
            <w:tcW w:w="4219" w:type="dxa"/>
          </w:tcPr>
          <w:p w:rsidR="00A87767" w:rsidRDefault="00A87767" w:rsidP="00A46B61">
            <w:pPr>
              <w:pStyle w:val="NoSpacing"/>
            </w:pPr>
            <w:r>
              <w:t>RF988 LED Headphones</w:t>
            </w:r>
          </w:p>
        </w:tc>
        <w:tc>
          <w:tcPr>
            <w:tcW w:w="1134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8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7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2552" w:type="dxa"/>
          </w:tcPr>
          <w:p w:rsidR="00A87767" w:rsidRDefault="00A87767" w:rsidP="00A46B61">
            <w:pPr>
              <w:pStyle w:val="NoSpacing"/>
            </w:pPr>
          </w:p>
        </w:tc>
      </w:tr>
      <w:tr w:rsidR="00A87767" w:rsidTr="00F42180">
        <w:trPr>
          <w:trHeight w:val="697"/>
        </w:trPr>
        <w:tc>
          <w:tcPr>
            <w:tcW w:w="4219" w:type="dxa"/>
          </w:tcPr>
          <w:p w:rsidR="00A87767" w:rsidRDefault="00A87767" w:rsidP="00A46B61">
            <w:pPr>
              <w:pStyle w:val="NoSpacing"/>
            </w:pPr>
            <w:r>
              <w:t>USB Charging leads &amp; power adaptors</w:t>
            </w:r>
          </w:p>
        </w:tc>
        <w:tc>
          <w:tcPr>
            <w:tcW w:w="1134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8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7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2552" w:type="dxa"/>
          </w:tcPr>
          <w:p w:rsidR="00A87767" w:rsidRDefault="00A87767" w:rsidP="00A46B61">
            <w:pPr>
              <w:pStyle w:val="NoSpacing"/>
            </w:pPr>
          </w:p>
        </w:tc>
      </w:tr>
      <w:tr w:rsidR="00A87767" w:rsidTr="00F42180">
        <w:tc>
          <w:tcPr>
            <w:tcW w:w="4219" w:type="dxa"/>
          </w:tcPr>
          <w:p w:rsidR="00A87767" w:rsidRDefault="00A87767" w:rsidP="00A46B61">
            <w:pPr>
              <w:pStyle w:val="NoSpacing"/>
            </w:pPr>
            <w:r>
              <w:t>RF Transmitters, inc:</w:t>
            </w:r>
          </w:p>
          <w:p w:rsidR="00A87767" w:rsidRDefault="00A87767" w:rsidP="00A46B61">
            <w:pPr>
              <w:pStyle w:val="NoSpacing"/>
            </w:pPr>
            <w:r>
              <w:t>Mains Power cord</w:t>
            </w:r>
          </w:p>
          <w:p w:rsidR="00A87767" w:rsidRDefault="00A87767" w:rsidP="00A46B61">
            <w:pPr>
              <w:pStyle w:val="NoSpacing"/>
            </w:pPr>
            <w:r>
              <w:t>3.5mm jack Audio Lead</w:t>
            </w:r>
          </w:p>
          <w:p w:rsidR="00A87767" w:rsidRDefault="00A87767" w:rsidP="000C0524">
            <w:pPr>
              <w:pStyle w:val="NoSpacing"/>
            </w:pPr>
            <w:r>
              <w:t xml:space="preserve">3.5mm jack to stereo </w:t>
            </w:r>
            <w:r w:rsidR="00B32F9B">
              <w:t>auxiliary</w:t>
            </w:r>
            <w:r>
              <w:t xml:space="preserve"> adapter lead</w:t>
            </w:r>
          </w:p>
        </w:tc>
        <w:tc>
          <w:tcPr>
            <w:tcW w:w="1134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8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7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2552" w:type="dxa"/>
          </w:tcPr>
          <w:p w:rsidR="00A87767" w:rsidRDefault="00A87767" w:rsidP="00A46B61">
            <w:pPr>
              <w:pStyle w:val="NoSpacing"/>
            </w:pPr>
          </w:p>
        </w:tc>
      </w:tr>
      <w:tr w:rsidR="00A87767" w:rsidTr="00F42180">
        <w:trPr>
          <w:trHeight w:val="751"/>
        </w:trPr>
        <w:tc>
          <w:tcPr>
            <w:tcW w:w="4219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134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8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1417" w:type="dxa"/>
          </w:tcPr>
          <w:p w:rsidR="00A87767" w:rsidRDefault="00A87767" w:rsidP="00A46B61">
            <w:pPr>
              <w:pStyle w:val="NoSpacing"/>
            </w:pPr>
          </w:p>
        </w:tc>
        <w:tc>
          <w:tcPr>
            <w:tcW w:w="2552" w:type="dxa"/>
          </w:tcPr>
          <w:p w:rsidR="00A87767" w:rsidRDefault="00A87767" w:rsidP="00A46B61">
            <w:pPr>
              <w:pStyle w:val="NoSpacing"/>
            </w:pPr>
          </w:p>
        </w:tc>
      </w:tr>
    </w:tbl>
    <w:p w:rsidR="00A46B61" w:rsidRDefault="00A46B61" w:rsidP="00A46B61">
      <w:pPr>
        <w:pStyle w:val="NoSpacing"/>
      </w:pPr>
    </w:p>
    <w:p w:rsidR="00A46B61" w:rsidRPr="006038BE" w:rsidRDefault="000C0524" w:rsidP="001D0FCE">
      <w:pPr>
        <w:pStyle w:val="NoSpacing"/>
        <w:rPr>
          <w:rFonts w:ascii="Ravie" w:hAnsi="Ravie"/>
        </w:rPr>
      </w:pPr>
      <w:r w:rsidRPr="006038BE">
        <w:rPr>
          <w:rFonts w:ascii="Ravie" w:hAnsi="Ravie"/>
        </w:rPr>
        <w:t>Transmitters</w:t>
      </w:r>
    </w:p>
    <w:p w:rsidR="000C0524" w:rsidRDefault="000C0524" w:rsidP="001D0FCE">
      <w:pPr>
        <w:pStyle w:val="NoSpacing"/>
      </w:pPr>
      <w:r>
        <w:t xml:space="preserve">The transmitter will be fully charged and can provide up to </w:t>
      </w:r>
      <w:r w:rsidRPr="000C0524">
        <w:t>4hrs</w:t>
      </w:r>
      <w:r>
        <w:t xml:space="preserve"> of use from the inbuilt Lithium-ion battery</w:t>
      </w:r>
      <w:r w:rsidR="00F87468">
        <w:t xml:space="preserve"> when used on Low-Power</w:t>
      </w:r>
      <w:r>
        <w:t>. You can also use and charge them with the included power adaptor</w:t>
      </w:r>
      <w:r w:rsidR="006038BE">
        <w:t>. However, they can become</w:t>
      </w:r>
      <w:r>
        <w:t xml:space="preserve"> hot when charging</w:t>
      </w:r>
      <w:r w:rsidR="001D0FCE">
        <w:t xml:space="preserve"> and being used simultaneously, so ensure they are well ventilated and not covered.</w:t>
      </w:r>
    </w:p>
    <w:p w:rsidR="001D0FCE" w:rsidRDefault="001D0FCE" w:rsidP="001D0FCE">
      <w:pPr>
        <w:pStyle w:val="NoSpacing"/>
        <w:rPr>
          <w:b/>
        </w:rPr>
      </w:pPr>
    </w:p>
    <w:p w:rsidR="000C0524" w:rsidRPr="006038BE" w:rsidRDefault="000C0524" w:rsidP="001D0FCE">
      <w:pPr>
        <w:pStyle w:val="NoSpacing"/>
        <w:rPr>
          <w:rFonts w:ascii="Ravie" w:hAnsi="Ravie"/>
        </w:rPr>
      </w:pPr>
      <w:r w:rsidRPr="006038BE">
        <w:rPr>
          <w:rFonts w:ascii="Ravie" w:hAnsi="Ravie"/>
        </w:rPr>
        <w:t>Headphones:</w:t>
      </w:r>
    </w:p>
    <w:p w:rsidR="000C0524" w:rsidRDefault="000C0524" w:rsidP="001D0FCE">
      <w:pPr>
        <w:pStyle w:val="NoSpacing"/>
      </w:pPr>
      <w:r>
        <w:t>The Headphones will be fully charged and can provide up to 20hrs of use from the inbuilt Lithium-ion batteries. They can be charged with the 16x USB charging leads &amp; power adaptors. Charge time is approximately 3hrs.</w:t>
      </w:r>
    </w:p>
    <w:p w:rsidR="001D0FCE" w:rsidRDefault="001D0FCE" w:rsidP="001D0FCE">
      <w:pPr>
        <w:pStyle w:val="NoSpacing"/>
        <w:rPr>
          <w:b/>
        </w:rPr>
      </w:pPr>
    </w:p>
    <w:p w:rsidR="000C0524" w:rsidRPr="006038BE" w:rsidRDefault="000C0524" w:rsidP="001D0FCE">
      <w:pPr>
        <w:pStyle w:val="NoSpacing"/>
        <w:rPr>
          <w:rFonts w:ascii="Ravie" w:hAnsi="Ravie"/>
        </w:rPr>
      </w:pPr>
      <w:r w:rsidRPr="006038BE">
        <w:rPr>
          <w:rFonts w:ascii="Ravie" w:hAnsi="Ravie"/>
        </w:rPr>
        <w:t>Charging</w:t>
      </w:r>
      <w:r w:rsidR="00385D49">
        <w:rPr>
          <w:rFonts w:ascii="Ravie" w:hAnsi="Ravie"/>
        </w:rPr>
        <w:t xml:space="preserve"> (if necessary)</w:t>
      </w:r>
      <w:r w:rsidRPr="006038BE">
        <w:rPr>
          <w:rFonts w:ascii="Ravie" w:hAnsi="Ravie"/>
        </w:rPr>
        <w:t>:</w:t>
      </w:r>
    </w:p>
    <w:p w:rsidR="000C0524" w:rsidRDefault="000C0524" w:rsidP="001D0FCE">
      <w:pPr>
        <w:pStyle w:val="NoSpacing"/>
      </w:pPr>
      <w:r>
        <w:t xml:space="preserve">The transmitters and headphones have </w:t>
      </w:r>
      <w:r w:rsidR="00BA2E86">
        <w:t xml:space="preserve">small green </w:t>
      </w:r>
      <w:r>
        <w:t>LED lights that indicate when they are charging.</w:t>
      </w:r>
      <w:r w:rsidR="00BA2E86">
        <w:t xml:space="preserve"> When these lights go out, they are fully charged.</w:t>
      </w:r>
    </w:p>
    <w:p w:rsidR="001D0FCE" w:rsidRDefault="001D0FCE" w:rsidP="001D0FCE">
      <w:pPr>
        <w:pStyle w:val="NoSpacing"/>
        <w:rPr>
          <w:b/>
        </w:rPr>
      </w:pPr>
    </w:p>
    <w:p w:rsidR="00BA2E86" w:rsidRPr="006038BE" w:rsidRDefault="00BA2E86" w:rsidP="001D0FCE">
      <w:pPr>
        <w:pStyle w:val="NoSpacing"/>
        <w:rPr>
          <w:rFonts w:ascii="Ravie" w:hAnsi="Ravie"/>
        </w:rPr>
      </w:pPr>
      <w:r w:rsidRPr="006038BE">
        <w:rPr>
          <w:rFonts w:ascii="Ravie" w:hAnsi="Ravie"/>
        </w:rPr>
        <w:t>Use:</w:t>
      </w:r>
    </w:p>
    <w:p w:rsidR="001D0FCE" w:rsidRDefault="00BA2E86" w:rsidP="001D0FCE">
      <w:pPr>
        <w:pStyle w:val="NoSpacing"/>
        <w:numPr>
          <w:ilvl w:val="0"/>
          <w:numId w:val="2"/>
        </w:numPr>
      </w:pPr>
      <w:r>
        <w:t>Plug in your music sources to each transmitter and sele</w:t>
      </w:r>
      <w:r w:rsidR="00F87468">
        <w:t>ct a different channel on each.</w:t>
      </w:r>
    </w:p>
    <w:p w:rsidR="001D0FCE" w:rsidRDefault="001D0FCE" w:rsidP="001D0FCE">
      <w:pPr>
        <w:pStyle w:val="NoSpacing"/>
        <w:numPr>
          <w:ilvl w:val="0"/>
          <w:numId w:val="2"/>
        </w:numPr>
      </w:pPr>
      <w:r>
        <w:t>Choose Low or High power mode on the transmitter</w:t>
      </w:r>
      <w:r w:rsidR="00F42180">
        <w:t>s</w:t>
      </w:r>
      <w:r>
        <w:t xml:space="preserve"> depending on the distance people will be from the transmitter and the run-time (low power will last longer on the battery!).</w:t>
      </w:r>
    </w:p>
    <w:p w:rsidR="001D0FCE" w:rsidRDefault="00F87468" w:rsidP="001D0FCE">
      <w:pPr>
        <w:pStyle w:val="NoSpacing"/>
        <w:numPr>
          <w:ilvl w:val="0"/>
          <w:numId w:val="2"/>
        </w:numPr>
      </w:pPr>
      <w:r>
        <w:t xml:space="preserve">Turn on a set of headphones by holding </w:t>
      </w:r>
      <w:r w:rsidR="00A87767">
        <w:t xml:space="preserve"> down the POWER</w:t>
      </w:r>
      <w:r w:rsidR="00BA2E86">
        <w:t xml:space="preserve"> button</w:t>
      </w:r>
      <w:r w:rsidR="00385D49">
        <w:t xml:space="preserve"> &amp; ensure the volume is at a suitable level</w:t>
      </w:r>
      <w:r>
        <w:t>.</w:t>
      </w:r>
    </w:p>
    <w:p w:rsidR="00385D49" w:rsidRDefault="001D0FCE" w:rsidP="00385D49">
      <w:pPr>
        <w:pStyle w:val="NoSpacing"/>
        <w:numPr>
          <w:ilvl w:val="0"/>
          <w:numId w:val="2"/>
        </w:numPr>
      </w:pPr>
      <w:r>
        <w:t xml:space="preserve">Adjust the volume </w:t>
      </w:r>
      <w:r w:rsidRPr="00A87767">
        <w:rPr>
          <w:u w:val="single"/>
        </w:rPr>
        <w:t>on your music sources</w:t>
      </w:r>
      <w:r>
        <w:t xml:space="preserve"> so that they are at a similar level.</w:t>
      </w:r>
    </w:p>
    <w:p w:rsidR="00385D49" w:rsidRDefault="001D0FCE" w:rsidP="00385D49">
      <w:pPr>
        <w:pStyle w:val="NoSpacing"/>
        <w:numPr>
          <w:ilvl w:val="0"/>
          <w:numId w:val="2"/>
        </w:numPr>
      </w:pPr>
      <w:r>
        <w:t>Volume can then be adjusted by each listener to their preference using the 'flick button'</w:t>
      </w:r>
      <w:r w:rsidR="00A87767">
        <w:t xml:space="preserve"> VOLUME</w:t>
      </w:r>
      <w:r>
        <w:t xml:space="preserve"> </w:t>
      </w:r>
      <w:r w:rsidR="00A87767">
        <w:t>CONTROL</w:t>
      </w:r>
      <w:r>
        <w:t xml:space="preserve"> on the headphones.</w:t>
      </w:r>
    </w:p>
    <w:p w:rsidR="00F42180" w:rsidRDefault="00F42180" w:rsidP="00F42180">
      <w:pPr>
        <w:pStyle w:val="NoSpacing"/>
        <w:numPr>
          <w:ilvl w:val="0"/>
          <w:numId w:val="2"/>
        </w:numPr>
      </w:pPr>
      <w:r>
        <w:t>Press the POWER button once to change between channels (</w:t>
      </w:r>
      <w:proofErr w:type="spellStart"/>
      <w:r>
        <w:t>N.b</w:t>
      </w:r>
      <w:proofErr w:type="spellEnd"/>
      <w:r>
        <w:t>. it will only select between actively transmitting channels).</w:t>
      </w:r>
    </w:p>
    <w:p w:rsidR="00A87767" w:rsidRDefault="00A87767" w:rsidP="001D0FCE">
      <w:pPr>
        <w:pStyle w:val="NoSpacing"/>
        <w:numPr>
          <w:ilvl w:val="0"/>
          <w:numId w:val="2"/>
        </w:numPr>
      </w:pPr>
      <w:r>
        <w:t>Once on, you can turn off the main LED light by holding down the VOLUME CONTROL button.</w:t>
      </w:r>
    </w:p>
    <w:p w:rsidR="00A87767" w:rsidRDefault="00A87767" w:rsidP="001D0FCE">
      <w:pPr>
        <w:pStyle w:val="NoSpacing"/>
        <w:numPr>
          <w:ilvl w:val="0"/>
          <w:numId w:val="2"/>
        </w:numPr>
      </w:pPr>
      <w:r>
        <w:t>To turn the headphones off, press and hold the POWER button.</w:t>
      </w:r>
    </w:p>
    <w:p w:rsidR="001D0FCE" w:rsidRDefault="001D0FCE" w:rsidP="001D0FCE">
      <w:pPr>
        <w:pStyle w:val="NoSpacing"/>
      </w:pPr>
    </w:p>
    <w:p w:rsidR="001D0FCE" w:rsidRPr="006038BE" w:rsidRDefault="001D0FCE" w:rsidP="001D0FCE">
      <w:pPr>
        <w:pStyle w:val="NoSpacing"/>
        <w:rPr>
          <w:rFonts w:ascii="Ravie" w:hAnsi="Ravie"/>
        </w:rPr>
      </w:pPr>
      <w:r w:rsidRPr="006038BE">
        <w:rPr>
          <w:rFonts w:ascii="Ravie" w:hAnsi="Ravie"/>
        </w:rPr>
        <w:t>After use:</w:t>
      </w:r>
    </w:p>
    <w:p w:rsidR="00A87767" w:rsidRDefault="001D0FCE" w:rsidP="00A87767">
      <w:pPr>
        <w:pStyle w:val="NoSpacing"/>
        <w:numPr>
          <w:ilvl w:val="0"/>
          <w:numId w:val="3"/>
        </w:numPr>
      </w:pPr>
      <w:r>
        <w:t>Ensure all headphones and transmitters are TURNED OFF and replaced in the box.</w:t>
      </w:r>
    </w:p>
    <w:p w:rsidR="001D0FCE" w:rsidRDefault="001D0FCE" w:rsidP="00F42180">
      <w:pPr>
        <w:pStyle w:val="NoSpacing"/>
        <w:numPr>
          <w:ilvl w:val="0"/>
          <w:numId w:val="3"/>
        </w:numPr>
      </w:pPr>
      <w:r>
        <w:t>Notify Kiwi Silen</w:t>
      </w:r>
      <w:r w:rsidR="00A87767">
        <w:t xml:space="preserve">t Disco of any damage or faults on this sheet and </w:t>
      </w:r>
      <w:hyperlink r:id="rId7" w:history="1">
        <w:r w:rsidR="00A87767" w:rsidRPr="00A87767">
          <w:rPr>
            <w:rStyle w:val="Hyperlink"/>
          </w:rPr>
          <w:t>info@kiwisilentdisco.co.nz</w:t>
        </w:r>
      </w:hyperlink>
    </w:p>
    <w:p w:rsidR="004B76FE" w:rsidRDefault="004B76FE" w:rsidP="00F42180">
      <w:pPr>
        <w:pStyle w:val="NoSpacing"/>
        <w:numPr>
          <w:ilvl w:val="0"/>
          <w:numId w:val="3"/>
        </w:numPr>
      </w:pPr>
      <w:r>
        <w:t>Follow the instructions on the Returns Logistics Information sheet to get the gear back to us :)</w:t>
      </w:r>
    </w:p>
    <w:sectPr w:rsidR="004B76FE" w:rsidSect="00A8776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43" w:rsidRDefault="00CF2543" w:rsidP="00A46B61">
      <w:pPr>
        <w:spacing w:after="0" w:line="240" w:lineRule="auto"/>
      </w:pPr>
      <w:r>
        <w:separator/>
      </w:r>
    </w:p>
  </w:endnote>
  <w:endnote w:type="continuationSeparator" w:id="0">
    <w:p w:rsidR="00CF2543" w:rsidRDefault="00CF2543" w:rsidP="00A4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43" w:rsidRDefault="00CF2543" w:rsidP="00A46B61">
      <w:pPr>
        <w:spacing w:after="0" w:line="240" w:lineRule="auto"/>
      </w:pPr>
      <w:r>
        <w:separator/>
      </w:r>
    </w:p>
  </w:footnote>
  <w:footnote w:type="continuationSeparator" w:id="0">
    <w:p w:rsidR="00CF2543" w:rsidRDefault="00CF2543" w:rsidP="00A4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61" w:rsidRDefault="00A46B61" w:rsidP="00A46B6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-192405</wp:posOffset>
          </wp:positionV>
          <wp:extent cx="1543050" cy="1543050"/>
          <wp:effectExtent l="19050" t="0" r="0" b="0"/>
          <wp:wrapNone/>
          <wp:docPr id="1" name="Picture 0" descr="kiwisilentdisco2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ilentdisco2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353"/>
    <w:multiLevelType w:val="hybridMultilevel"/>
    <w:tmpl w:val="023C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7293"/>
    <w:multiLevelType w:val="hybridMultilevel"/>
    <w:tmpl w:val="9A24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14C49"/>
    <w:multiLevelType w:val="hybridMultilevel"/>
    <w:tmpl w:val="90C4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43B1B"/>
    <w:rsid w:val="000C0524"/>
    <w:rsid w:val="00143B1B"/>
    <w:rsid w:val="001C2155"/>
    <w:rsid w:val="001D0FCE"/>
    <w:rsid w:val="001D6AC0"/>
    <w:rsid w:val="00296A18"/>
    <w:rsid w:val="002C75C9"/>
    <w:rsid w:val="002C77ED"/>
    <w:rsid w:val="0034641B"/>
    <w:rsid w:val="00385D49"/>
    <w:rsid w:val="0041636A"/>
    <w:rsid w:val="00441005"/>
    <w:rsid w:val="004B76FE"/>
    <w:rsid w:val="004F4643"/>
    <w:rsid w:val="006038BE"/>
    <w:rsid w:val="006922FE"/>
    <w:rsid w:val="007806DB"/>
    <w:rsid w:val="00886EC2"/>
    <w:rsid w:val="008E2EB3"/>
    <w:rsid w:val="00A46B61"/>
    <w:rsid w:val="00A87767"/>
    <w:rsid w:val="00A94124"/>
    <w:rsid w:val="00B32F9B"/>
    <w:rsid w:val="00BA2E86"/>
    <w:rsid w:val="00C55E48"/>
    <w:rsid w:val="00C63670"/>
    <w:rsid w:val="00CF2543"/>
    <w:rsid w:val="00D66022"/>
    <w:rsid w:val="00F42180"/>
    <w:rsid w:val="00F44ABC"/>
    <w:rsid w:val="00F8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B61"/>
  </w:style>
  <w:style w:type="paragraph" w:styleId="Footer">
    <w:name w:val="footer"/>
    <w:basedOn w:val="Normal"/>
    <w:link w:val="FooterChar"/>
    <w:uiPriority w:val="99"/>
    <w:semiHidden/>
    <w:unhideWhenUsed/>
    <w:rsid w:val="00A4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B61"/>
  </w:style>
  <w:style w:type="paragraph" w:styleId="BalloonText">
    <w:name w:val="Balloon Text"/>
    <w:basedOn w:val="Normal"/>
    <w:link w:val="BalloonTextChar"/>
    <w:uiPriority w:val="99"/>
    <w:semiHidden/>
    <w:unhideWhenUsed/>
    <w:rsid w:val="00A4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B61"/>
    <w:pPr>
      <w:spacing w:after="0" w:line="240" w:lineRule="auto"/>
    </w:pPr>
  </w:style>
  <w:style w:type="table" w:styleId="TableGrid">
    <w:name w:val="Table Grid"/>
    <w:basedOn w:val="TableNormal"/>
    <w:uiPriority w:val="59"/>
    <w:rsid w:val="00A4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iwisilentdisco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Watersports Limited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Fraser-Harris</dc:creator>
  <cp:lastModifiedBy>Tim Fraser-Harris</cp:lastModifiedBy>
  <cp:revision>6</cp:revision>
  <cp:lastPrinted>2019-02-26T22:12:00Z</cp:lastPrinted>
  <dcterms:created xsi:type="dcterms:W3CDTF">2018-05-30T07:40:00Z</dcterms:created>
  <dcterms:modified xsi:type="dcterms:W3CDTF">2019-05-19T01:15:00Z</dcterms:modified>
</cp:coreProperties>
</file>